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contextualSpacing/>
        <w:jc w:val="center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Положение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jc w:val="center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 проведении Окружного конкурса профессионального мастерства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jc w:val="center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«Библиотекарь года»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jc w:val="center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jc w:val="center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Общие положения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1.1. Настоящее Положение определяет порядок и регламент проведения Окружного конкурса профессионального мастерства «Библиотекарь года» (далее – Конкурс) среди сотрудников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государственной 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муниципальных общедоступных библиотек Ямало-Ненецкого автономного округа.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1.2. Конкурс проводится в рамках реализации государственной программы Ямало-Ненецкого автономного округа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«Основные направления развития культуры в 202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5 году», утвержденной постановлением Правительства Ямало-Ненецкого автономного округа от 25 декабря 2013 года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№ 1122-П (далее – Государственная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программ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1.3. Цел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Конкурса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содействие </w:t>
      </w:r>
      <w:r>
        <w:rPr>
          <w:rFonts w:ascii="Liberation Sans" w:hAnsi="Liberation Sans" w:cs="Liberation Sans"/>
          <w:sz w:val="24"/>
          <w:szCs w:val="24"/>
          <w:highlight w:val="none"/>
          <w:shd w:val="clear" w:color="auto" w:fill="ffffff"/>
        </w:rPr>
        <w:t xml:space="preserve">сохранению </w:t>
      </w:r>
      <w:r>
        <w:rPr>
          <w:rFonts w:ascii="Liberation Sans" w:hAnsi="Liberation Sans" w:cs="Liberation Sans"/>
          <w:sz w:val="24"/>
          <w:szCs w:val="24"/>
          <w:highlight w:val="none"/>
          <w:shd w:val="clear" w:color="auto" w:fill="ffffff"/>
        </w:rPr>
        <w:t xml:space="preserve">профессиональных ценностей</w:t>
      </w:r>
      <w:r>
        <w:rPr>
          <w:rFonts w:ascii="Liberation Sans" w:hAnsi="Liberation Sans" w:cs="Liberation Sans"/>
          <w:sz w:val="24"/>
          <w:szCs w:val="24"/>
          <w:highlight w:val="none"/>
          <w:shd w:val="clear" w:color="auto" w:fill="ffffff"/>
        </w:rPr>
        <w:t xml:space="preserve"> библиотечной отрасли, повышени</w:t>
      </w:r>
      <w:r>
        <w:rPr>
          <w:rFonts w:ascii="Liberation Sans" w:hAnsi="Liberation Sans" w:cs="Liberation Sans"/>
          <w:sz w:val="24"/>
          <w:szCs w:val="24"/>
          <w:highlight w:val="none"/>
          <w:shd w:val="clear" w:color="auto" w:fill="ffffff"/>
        </w:rPr>
        <w:t xml:space="preserve">ю</w:t>
      </w:r>
      <w:r>
        <w:rPr>
          <w:rFonts w:ascii="Liberation Sans" w:hAnsi="Liberation Sans" w:cs="Liberation Sans"/>
          <w:sz w:val="24"/>
          <w:szCs w:val="24"/>
          <w:highlight w:val="none"/>
          <w:shd w:val="clear" w:color="auto" w:fill="ffffff"/>
        </w:rPr>
        <w:t xml:space="preserve"> имиджа профессии среди молодежи.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1.4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Задачи Конкурса: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создание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условий для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повышения уровня профессионального мастерства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поддержка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молодых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сп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ециалистов, работающих в библиотеках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Ямало-Ненецкого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автономного округа;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продвижение социально значимых библ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иотечно-информационных проектов;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предоставление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возможност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для профессионально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го общения работников библиотек.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Учредители и организаторы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2.1. Учредителем Конкурса является департамент культуры Ямало-Ненецкого автономного округа.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2.2. Организатором Конкурса является государственное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автономное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учреждение Ямало-Ненецкого автономного округа «Национальная библиотека Ямало-Ненецкого автономного округа»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(далее – Национальная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библиотека ЯНАО).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2.3. Организатор Конкурса вправе привлекать спонсоров (партнеров), оказывающих содействие в покрытии расходов по проведению Конкурса.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Требования к участникам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7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3.1. В Конкурсе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могут принять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участие сотрудники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государственной 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муниципальных общедоступных библиотек Ямало-Ненецкого автономного округа и Волновахского района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возрасте до 35 лет включительно.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3.2. Участник Конкурса должен иметь профессион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альные достижения за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период 2023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-20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гг. по одному или нескольким направлениям профессиональной деятельности: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привлечения новых читателей в библиотеку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повышения доступности информации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повышения качества и комфортности библиотечных услуг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формирования и обеспечения сохранности библиотечных фондов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создания коллекций, информационных ресурсов, имеющих высокое историко-культурное или актуальное социальное значение для местного населения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культурно-просветительской деятельности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  библиотечного обслуживания мультикультурного населения.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3.3. Образование, должность и стаж работы участника значения не имеют.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3.4. Повторно заявляться на участие в конкурсе возможно по истечении двух лет с момента последнего участия в Конкурсе.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Организация и сроки проведения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4.1. Конкурс проводится в 2 этапа.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4.2.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1-й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этап: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 августа – 1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5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октября 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года. Выдвижение участников, подача заявок в адрес оргкомитета.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4.3.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2-й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этап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17-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21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ноября 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года в городе Новый Уренгой в виде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3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-х конкурсных испытаний для каждого участника: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4.3.1.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Визитная карточка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 на тему «Мой проект в моей библиотеке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(домашнее задание).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Форма представления: участник должен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устно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раскрыть свои личностные и профессиональные качества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 демонстрацию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уникальности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своей библиотеки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также  своего вклада через реализацию  личного проекта, подготовленного и реализованного номинантом в течение последних двух лет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Представление может сопровождаться демонстрацией наглядного материала (презентации или видеоролики в форматах AVI или MPEG-4 разрешением не менее 720р).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Закадровый текст не должен превышать 30% всего выступления.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Время представления: не более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6 минут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Критерии оценивания: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степень раскрытия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своих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профессиональн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ых компетенций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степень раскрытия миссии своей библиотеки;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752"/>
        <w:numPr>
          <w:ilvl w:val="0"/>
          <w:numId w:val="30"/>
        </w:numPr>
        <w:contextualSpacing/>
        <w:ind w:left="709" w:right="0" w:hanging="142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инновационность,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социальная значимость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 эффективность внедрения проекта;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культура публичного выступления.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4.3.2.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Интерактивное задание «Ситуационный кейс»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Форма проведения: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участнику предлагается смоделированная ситуация для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демонстрации  реакции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нестандартной / конфликтной ситуации.</w:t>
      </w:r>
      <w:r>
        <w:rPr>
          <w:highlight w:val="none"/>
        </w:rPr>
      </w:r>
      <w:r>
        <w:rPr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Конкурсанту необходимо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продемонстрировать личностные и профессиональные качества, помогающие разрешить возникшую ситуацию.</w:t>
      </w:r>
      <w:r>
        <w:rPr>
          <w:highlight w:val="none"/>
        </w:rPr>
      </w:r>
      <w:r>
        <w:rPr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Критерии оценивания: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знани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организационно-распорядительных документов и нормативных материалов, касающихся деятельности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учреждения;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коммуникативные навыки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и тактичность;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стрессоустойчивость.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left="0" w:right="0" w:firstLine="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4.3.3.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/>
          <w:bCs/>
          <w:color w:val="0b0c0d"/>
          <w:sz w:val="24"/>
          <w:szCs w:val="24"/>
          <w:highlight w:val="none"/>
        </w:rPr>
        <w:t xml:space="preserve">«Мини-проект: мероприятие за час»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 w:val="0"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Форма проведения: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рандомно 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участнику выдается направление проекта из следующего перечня: 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проект для детской аудитории;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проект для молодежной аудитории ( в т.ч. с возможностью реализации в рамках проекта «Пушкинская карта»);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краеведческий проект (в т.ч. направленный на продвижение ямальских авторов);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инклюзивный проект;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проект для старшего поколения (55+, в т.ч. с возможностью реализации в рамках программы «Ямальское долголетие»);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проект для участников и семей СВО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2"/>
        </w:numPr>
        <w:contextualSpacing/>
        <w:ind w:left="567" w:right="0" w:hanging="36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 коммерческий проект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Цель: проверка способности к экспресс-планированию и креативу.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Форма проведения: участник за 60 минут должен: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52"/>
        <w:numPr>
          <w:ilvl w:val="0"/>
          <w:numId w:val="35"/>
        </w:numPr>
        <w:contextualSpacing/>
        <w:ind w:left="142" w:right="0" w:firstLine="0"/>
        <w:spacing w:before="0" w:after="240"/>
        <w:shd w:val="clear" w:color="auto" w:fill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придумать формат мероприятия;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52"/>
        <w:numPr>
          <w:ilvl w:val="0"/>
          <w:numId w:val="35"/>
        </w:numPr>
        <w:contextualSpacing/>
        <w:ind w:left="142" w:right="0" w:firstLine="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определить целевую аудиторию;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5"/>
        </w:numPr>
        <w:contextualSpacing/>
        <w:ind w:left="142" w:right="0" w:firstLine="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обозначить предполагаемую эффективность внедрения в практику</w:t>
      </w:r>
      <w:r>
        <w:rPr>
          <w:b w:val="0"/>
          <w:bCs w:val="0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752"/>
        <w:numPr>
          <w:ilvl w:val="0"/>
          <w:numId w:val="35"/>
        </w:numPr>
        <w:contextualSpacing/>
        <w:ind w:left="142" w:right="0" w:firstLine="0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написать краткий сценарный план (5-7 пунктов).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/>
          <w:bCs/>
          <w:i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/>
          <w:bCs/>
          <w:i/>
          <w:iCs/>
          <w:color w:val="0b0c0d"/>
          <w:sz w:val="24"/>
          <w:szCs w:val="24"/>
          <w:highlight w:val="none"/>
        </w:rPr>
        <w:t xml:space="preserve">Дополнительны</w:t>
      </w:r>
      <w:r>
        <w:rPr>
          <w:rFonts w:ascii="Liberation Sans" w:hAnsi="Liberation Sans" w:cs="Liberation Sans"/>
          <w:b/>
          <w:bCs/>
          <w:i/>
          <w:iCs/>
          <w:color w:val="0b0c0d"/>
          <w:sz w:val="24"/>
          <w:szCs w:val="24"/>
          <w:highlight w:val="none"/>
        </w:rPr>
        <w:t xml:space="preserve">й балл:</w:t>
      </w:r>
      <w:r>
        <w:rPr>
          <w:rFonts w:ascii="Liberation Sans" w:hAnsi="Liberation Sans" w:cs="Liberation Sans"/>
          <w:b/>
          <w:bCs/>
          <w:i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i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  проект афиши (на бумаге или в любом другом графическим редакторе),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Критерии оценивания: 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-соответствие теме,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 креативность,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 реальность реализации,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 уникальность проекта,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contextualSpacing/>
        <w:ind w:left="0" w:right="0" w:firstLine="567"/>
        <w:spacing w:before="0" w:after="240"/>
        <w:shd w:val="clear" w:color="auto" w:fill="auto"/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  <w:t xml:space="preserve">-</w:t>
      </w:r>
      <w:r>
        <w:rPr>
          <w:rFonts w:ascii="Liberation Sans" w:hAnsi="Liberation Sans" w:eastAsia="Liberation Serif" w:cs="Liberation Sans"/>
          <w:sz w:val="24"/>
          <w:szCs w:val="24"/>
          <w:highlight w:val="none"/>
        </w:rPr>
        <w:t xml:space="preserve">информационная культура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(конкурсант </w:t>
      </w:r>
      <w:r>
        <w:rPr>
          <w:rFonts w:ascii="Liberation Sans" w:hAnsi="Liberation Sans" w:eastAsia="Liberation Serif" w:cs="Liberation Sans"/>
          <w:sz w:val="24"/>
          <w:szCs w:val="24"/>
          <w:highlight w:val="none"/>
          <w:lang w:bidi="ru-RU"/>
        </w:rPr>
        <w:t xml:space="preserve">показывает компетентность и профессионализм в представлении информации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</w:t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b0c0d"/>
          <w:sz w:val="24"/>
          <w:szCs w:val="24"/>
          <w:highlight w:val="none"/>
        </w:rPr>
      </w:r>
    </w:p>
    <w:p>
      <w:pPr>
        <w:pStyle w:val="912"/>
        <w:contextualSpacing/>
        <w:ind w:firstLine="0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Порядок выдвижения участников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color w:val="ff0000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5.1. Правом выдвижения кандидатов на конкурс обладают органы управления культурой муниципальных образований Ямало-Ненецкого автономного округа.</w:t>
      </w:r>
      <w:r>
        <w:rPr>
          <w:rFonts w:ascii="Liberation Sans" w:hAnsi="Liberation Sans" w:cs="Liberation Sans"/>
          <w:color w:val="ff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ff0000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5.2. От муниципального образования на конкурс выдвигается только один участник.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5.3. Для участия в Конкурс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необходимо в адрес Национальной библиотеки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ЯНАО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в срок до 15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октября 20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года представить следующие документы: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з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аявка на участие в Конкурсе от органа управления культурой муниципального образования Ямало-Ненецкого автономного округа согласно приложению №1 к настоящему Положению (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1-я страница 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заполненный бланк с подписью руководителя органа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управления культурой и печатью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отсканированный и сохраненный в формате 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pdf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2-я и последующие страницы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: обоснование выдвижения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– текстовый документ в формате docx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(Word);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огласие номинанта на участие в Конкурсе и обработ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ку данных согласно приложению №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 к настоящему Положению (заполненный бланк с подписью, отсканированный и сохраненный в формате 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pdf</w:t>
      </w:r>
      <w:r>
        <w:rPr>
          <w:rFonts w:ascii="Liberation Sans" w:hAnsi="Liberation Sans" w:cs="Liberation Sans"/>
          <w:sz w:val="24"/>
          <w:szCs w:val="24"/>
          <w:highlight w:val="none"/>
          <w:u w:val="single"/>
        </w:rPr>
        <w:t xml:space="preserve">)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информационная карта участника согласно приложению №3 к настоящему Положению (заполненный бланк анкеты, сохраненный в формате 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doc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x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Шрифт: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Liberation Sans, размер шрифта: 12, междустрочный интервал: 1,0);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аспорт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библиотечного проекта на тему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«Мой проект в моей библиотеке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согласно приложению №4 к настоящему Положению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(текстовый документ в формате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docx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объемом не более 3-х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стра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ниц.</w:t>
      </w:r>
      <w:r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r>
    </w:p>
    <w:p>
      <w:pPr>
        <w:pStyle w:val="752"/>
        <w:numPr>
          <w:ilvl w:val="0"/>
          <w:numId w:val="40"/>
        </w:numPr>
        <w:contextualSpacing/>
        <w:ind w:left="0" w:right="0"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сценарный план, включающий в себя подробное описание и тайминг выступления. </w:t>
      </w:r>
      <w:r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- 2 фотографии участника, портретное фото (не на фоне природы, памятников архитектуры и проч.), жанровое фото, демонстрирующее профессиональную деятельность (лицо участника должно быть хорошо видно) (изображения в формате 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j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pg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размер – не менее 1024х768 пикселей (не более 3-х 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Mb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5.4.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атериалы конкурсного испытания «Визитная карточка»,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необходимо направить в адрес Национальной библиотеки 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НАО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в срок до 15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октября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года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21"/>
        <w:ind w:firstLine="567"/>
        <w:jc w:val="both"/>
        <w:spacing w:line="276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5.5. Документы и материалы, указанные в пункте 5.3., 5.4. настоящего Положения, направляются в электронном виде на информационный портал «Культура Ямала</w:t>
      </w:r>
      <w:r>
        <w:rPr>
          <w:rFonts w:ascii="Liberation Sans" w:hAnsi="Liberation Sans" w:cs="Liberation Sans"/>
          <w:sz w:val="24"/>
          <w:szCs w:val="24"/>
          <w:highlight w:val="none"/>
          <w:lang w:eastAsia="ru-RU"/>
        </w:rPr>
        <w:t xml:space="preserve">».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5.6. Документы на участие в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Конкурс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п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олученные позднее 1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5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октября 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года, не рассматриваются. Документы и материалы, присланные на Конкурс, не возвращаются.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5.7.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Оплата проживания участников Конкурса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осуществляется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в рамках Государственной программы.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5.8. За дополнительной информацией по вопросам организации и проведения Конкурса следует обращаться по телефону: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8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(34922) 3-16-93,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Бобрик Оксана Георгиевна, заместитель директора ГАУ ЯНАО «Национальная библиотека ЯНАО»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Кунченко Екатерина Игоревна , заведующий проектно-грантовым отделом 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ГАУ ЯНАО «Национальная библиотека ЯНАО»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;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Моисеева Наталья Павловна, методист проектно-грантового отдела ГАУ ЯНАО «Национальная библиотека ЯНАО»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Подведение итогов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6.1. Для подведения итогов Конкурса формируется состав жюри, который утверждается приказом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директора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У ЯНАО «Национальная библиотека ЯНАО». Жюри является коллегиальным органом.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6.2. В своей деятельности жюри руководствуется настоящим Положением. Жюри правомочно принимать решения, если присутствуют более половины его членов.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6.3. При оценивании конкурсных заданий жюри руководствуется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критериями,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указанными в пп.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4.3.1, 4.3.2, 4.3.3.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Оценка конкурсных заданий осуществляется следующим образом: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>
        <w:tblPrEx/>
        <w:trPr/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Критерии указанные в пунктах положения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Не соответствует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(в баллах)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Соответствует частично (в баллах)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5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Соответствует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(в баллах)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пп. 4.3.1, 4.3.2, 4.3.3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4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W w:w="2535" w:type="dxa"/>
            <w:vAlign w:val="top"/>
            <w:textDirection w:val="lrTb"/>
            <w:noWrap w:val="false"/>
          </w:tcPr>
          <w:p>
            <w:pPr>
              <w:pStyle w:val="912"/>
              <w:contextualSpacing/>
              <w:jc w:val="center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6.4. Жюри определя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ет победителей Конкурса по наибольшему количеству баллов. При равенстве количества набранных баллов участников Конкурса окончательное решение принимает председатель жюри. Решение жюри оформляется протоколом, является окончательным и пересмотру не подлежит.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6.5. Победителю Конкурса присуждается звание «Библиотекарь года» и выплачивается денежный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приз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соответствии со сметой расходов на проведение Конкурса.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6.6. Участникам Конкурса, занявшим 2-е и 3-е места, вручаются дипломы и денежные п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ризы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в соответствии со сметой расходов на проведение Конкурса.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6.7. Организаторы Конкурса оставляют за собой право присуждения специальны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х призов и специальных дипломов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Авторские права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7.1. Предоставляя материалы на Конкурс, участники гарантируют соблюдение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законодательства Российской Федерации, в том числе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части четвертой Гражданского кодекса Российской Федерации.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7.2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Подтвердив согласие на участие в Конкурсе, участники 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втоматически дают право организаторам Конкурса на использование конкурсных материалов в некоммерческих целях (частичное размещение в информационно-коммуникационной сети Интернет, использование на выставочных стендах, обобщение опыта) с указанием авторства.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7"/>
        <w:numPr>
          <w:ilvl w:val="0"/>
          <w:numId w:val="24"/>
        </w:numPr>
        <w:jc w:val="center"/>
        <w:spacing w:after="200" w:line="276" w:lineRule="auto"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Информационная поддержка Конкурса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8.1. Информационную поддержку проведения Конкурса осуществляют официальные сайты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департамента культуры Ямало-Ненецкого автономного округа (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http://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depcul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yanao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  <w:lang w:val="en-US"/>
        </w:rPr>
        <w:t xml:space="preserve">ru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), Национальной библиотеки Ямало-Ненецкого автономного округа (http://нб.янао.рф)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Корпоративный информационно-библиотечный портал Ямало-Ненецкого автономного округа (www.libraries-yanao.ru).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ind w:firstLine="567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8.2. Информация о событии размещается на сайте Министерства культуры РФ, портале культурного наследия и традиций России «Культура.РФ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а также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социальной сети «ВКонтакте»,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приложении «Культурная афиша»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 др.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12"/>
        <w:contextualSpacing/>
        <w:shd w:val="clear" w:color="auto" w:fill="auto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Lucida Sans Unicode">
    <w:panose1 w:val="020B06030308040202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1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3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7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09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75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76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  <w:tabs>
          <w:tab w:val="num" w:pos="79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  <w:tabs>
          <w:tab w:val="num" w:pos="151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  <w:tabs>
          <w:tab w:val="num" w:pos="223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  <w:tabs>
          <w:tab w:val="num" w:pos="295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  <w:tabs>
          <w:tab w:val="num" w:pos="367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  <w:tabs>
          <w:tab w:val="num" w:pos="43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  <w:tabs>
          <w:tab w:val="num" w:pos="511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  <w:tabs>
          <w:tab w:val="num" w:pos="5836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287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6" w:hanging="216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3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0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7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</w:pPr>
    </w:lvl>
  </w:abstractNum>
  <w:abstractNum w:abstractNumId="2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6"/>
  </w:num>
  <w:num w:numId="10">
    <w:abstractNumId w:val="1"/>
  </w:num>
  <w:num w:numId="11">
    <w:abstractNumId w:val="6"/>
  </w:num>
  <w:num w:numId="12">
    <w:abstractNumId w:val="23"/>
  </w:num>
  <w:num w:numId="13">
    <w:abstractNumId w:val="12"/>
  </w:num>
  <w:num w:numId="14">
    <w:abstractNumId w:val="19"/>
  </w:num>
  <w:num w:numId="15">
    <w:abstractNumId w:val="7"/>
  </w:num>
  <w:num w:numId="16">
    <w:abstractNumId w:val="20"/>
  </w:num>
  <w:num w:numId="17">
    <w:abstractNumId w:val="4"/>
  </w:num>
  <w:num w:numId="18">
    <w:abstractNumId w:val="8"/>
  </w:num>
  <w:num w:numId="19">
    <w:abstractNumId w:val="17"/>
  </w:num>
  <w:num w:numId="20">
    <w:abstractNumId w:val="21"/>
  </w:num>
  <w:num w:numId="21">
    <w:abstractNumId w:val="9"/>
  </w:num>
  <w:num w:numId="22">
    <w:abstractNumId w:val="14"/>
  </w:num>
  <w:num w:numId="23">
    <w:abstractNumId w:val="13"/>
  </w:num>
  <w:num w:numId="24">
    <w:abstractNumId w:val="22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pPr>
      <w:jc w:val="both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13">
    <w:name w:val="Заголовок 7"/>
    <w:basedOn w:val="912"/>
    <w:next w:val="912"/>
    <w:link w:val="936"/>
    <w:qFormat/>
    <w:pPr>
      <w:ind w:left="-567"/>
      <w:keepNext/>
      <w:outlineLvl w:val="6"/>
    </w:pPr>
    <w:rPr>
      <w:szCs w:val="20"/>
      <w:lang w:val="en-US" w:eastAsia="en-US"/>
    </w:rPr>
  </w:style>
  <w:style w:type="character" w:styleId="914">
    <w:name w:val="Основной шрифт абзаца"/>
    <w:next w:val="914"/>
    <w:link w:val="912"/>
    <w:uiPriority w:val="1"/>
    <w:semiHidden/>
    <w:unhideWhenUsed/>
  </w:style>
  <w:style w:type="table" w:styleId="915">
    <w:name w:val="Обычная таблица"/>
    <w:next w:val="915"/>
    <w:link w:val="912"/>
    <w:uiPriority w:val="99"/>
    <w:semiHidden/>
    <w:unhideWhenUsed/>
    <w:qFormat/>
    <w:tblPr/>
  </w:style>
  <w:style w:type="numbering" w:styleId="916">
    <w:name w:val="Нет списка"/>
    <w:next w:val="916"/>
    <w:link w:val="912"/>
    <w:uiPriority w:val="99"/>
    <w:semiHidden/>
    <w:unhideWhenUsed/>
  </w:style>
  <w:style w:type="paragraph" w:styleId="917">
    <w:name w:val="Абзац списка"/>
    <w:basedOn w:val="912"/>
    <w:next w:val="917"/>
    <w:link w:val="912"/>
    <w:uiPriority w:val="34"/>
    <w:qFormat/>
    <w:pPr>
      <w:contextualSpacing/>
      <w:ind w:left="720"/>
    </w:pPr>
  </w:style>
  <w:style w:type="character" w:styleId="918">
    <w:name w:val="Гиперссылка"/>
    <w:next w:val="918"/>
    <w:link w:val="912"/>
    <w:uiPriority w:val="99"/>
    <w:unhideWhenUsed/>
    <w:rPr>
      <w:color w:val="0000ff"/>
      <w:u w:val="single"/>
    </w:rPr>
  </w:style>
  <w:style w:type="paragraph" w:styleId="919">
    <w:name w:val="Основной текст"/>
    <w:basedOn w:val="912"/>
    <w:next w:val="919"/>
    <w:link w:val="920"/>
    <w:pPr>
      <w:jc w:val="left"/>
      <w:spacing w:after="120"/>
    </w:pPr>
    <w:rPr>
      <w:lang w:val="en-US"/>
    </w:rPr>
  </w:style>
  <w:style w:type="character" w:styleId="920">
    <w:name w:val="Основной текст Знак"/>
    <w:next w:val="920"/>
    <w:link w:val="91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Без интервала"/>
    <w:next w:val="921"/>
    <w:link w:val="925"/>
    <w:uiPriority w:val="1"/>
    <w:qFormat/>
    <w:rPr>
      <w:sz w:val="22"/>
      <w:szCs w:val="22"/>
      <w:lang w:val="ru-RU" w:eastAsia="en-US" w:bidi="ar-SA"/>
    </w:rPr>
  </w:style>
  <w:style w:type="paragraph" w:styleId="922">
    <w:name w:val="Текст выноски"/>
    <w:basedOn w:val="912"/>
    <w:next w:val="922"/>
    <w:link w:val="92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23">
    <w:name w:val="Текст выноски Знак"/>
    <w:next w:val="923"/>
    <w:link w:val="92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4">
    <w:name w:val="Standard"/>
    <w:next w:val="924"/>
    <w:link w:val="912"/>
    <w:pPr>
      <w:widowControl w:val="off"/>
    </w:pPr>
    <w:rPr>
      <w:rFonts w:ascii="Arial" w:hAnsi="Arial" w:eastAsia="Lucida Sans Unicode" w:cs="Tahoma"/>
      <w:sz w:val="21"/>
      <w:szCs w:val="24"/>
      <w:lang w:val="ru-RU" w:eastAsia="ru-RU" w:bidi="ar-SA"/>
    </w:rPr>
  </w:style>
  <w:style w:type="character" w:styleId="925">
    <w:name w:val="Без интервала Знак"/>
    <w:next w:val="925"/>
    <w:link w:val="921"/>
    <w:uiPriority w:val="1"/>
    <w:rPr>
      <w:sz w:val="22"/>
      <w:szCs w:val="22"/>
      <w:lang w:val="ru-RU" w:eastAsia="en-US" w:bidi="ar-SA"/>
    </w:rPr>
  </w:style>
  <w:style w:type="paragraph" w:styleId="926">
    <w:name w:val="Верхний колонтитул"/>
    <w:basedOn w:val="912"/>
    <w:next w:val="926"/>
    <w:link w:val="927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7">
    <w:name w:val="Верхний колонтитул Знак"/>
    <w:next w:val="927"/>
    <w:link w:val="92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Нижний колонтитул"/>
    <w:basedOn w:val="912"/>
    <w:next w:val="928"/>
    <w:link w:val="92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9">
    <w:name w:val="Нижний колонтитул Знак"/>
    <w:next w:val="929"/>
    <w:link w:val="92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apple-style-span"/>
    <w:basedOn w:val="914"/>
    <w:next w:val="930"/>
    <w:link w:val="912"/>
  </w:style>
  <w:style w:type="paragraph" w:styleId="931">
    <w:name w:val="Название объекта"/>
    <w:basedOn w:val="912"/>
    <w:next w:val="912"/>
    <w:link w:val="912"/>
    <w:uiPriority w:val="35"/>
    <w:unhideWhenUsed/>
    <w:qFormat/>
    <w:pPr>
      <w:jc w:val="left"/>
      <w:spacing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932">
    <w:name w:val="Обычный (веб)"/>
    <w:basedOn w:val="912"/>
    <w:next w:val="932"/>
    <w:link w:val="912"/>
    <w:uiPriority w:val="99"/>
    <w:unhideWhenUsed/>
    <w:pPr>
      <w:jc w:val="left"/>
      <w:spacing w:before="100" w:beforeAutospacing="1" w:after="100" w:afterAutospacing="1"/>
    </w:pPr>
  </w:style>
  <w:style w:type="paragraph" w:styleId="933">
    <w:name w:val="Основной текст с отступом"/>
    <w:basedOn w:val="912"/>
    <w:next w:val="933"/>
    <w:link w:val="934"/>
    <w:uiPriority w:val="99"/>
    <w:semiHidden/>
    <w:unhideWhenUsed/>
    <w:pPr>
      <w:ind w:left="283"/>
      <w:spacing w:after="120"/>
    </w:pPr>
    <w:rPr>
      <w:lang w:val="en-US" w:eastAsia="en-US"/>
    </w:rPr>
  </w:style>
  <w:style w:type="character" w:styleId="934">
    <w:name w:val="Основной текст с отступом Знак"/>
    <w:next w:val="934"/>
    <w:link w:val="933"/>
    <w:uiPriority w:val="99"/>
    <w:semiHidden/>
    <w:rPr>
      <w:rFonts w:ascii="Times New Roman" w:hAnsi="Times New Roman" w:eastAsia="Times New Roman"/>
      <w:sz w:val="24"/>
      <w:szCs w:val="24"/>
    </w:rPr>
  </w:style>
  <w:style w:type="table" w:styleId="935">
    <w:name w:val="Сетка таблицы"/>
    <w:basedOn w:val="915"/>
    <w:next w:val="935"/>
    <w:link w:val="912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36">
    <w:name w:val="Заголовок 7 Знак"/>
    <w:next w:val="936"/>
    <w:link w:val="913"/>
    <w:rPr>
      <w:rFonts w:ascii="Times New Roman" w:hAnsi="Times New Roman" w:eastAsia="Times New Roman"/>
      <w:sz w:val="24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  <w:style w:type="paragraph" w:styleId="9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NEB YANAO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esvedernikova</cp:lastModifiedBy>
  <cp:revision>107</cp:revision>
  <dcterms:created xsi:type="dcterms:W3CDTF">2017-03-13T06:52:00Z</dcterms:created>
  <dcterms:modified xsi:type="dcterms:W3CDTF">2025-09-19T04:39:50Z</dcterms:modified>
  <cp:version>1048576</cp:version>
</cp:coreProperties>
</file>